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t>STRUCTURAL NOTE: CHRONAL DYNAMIC HOMEOSTASIS</w:t>
      </w:r>
    </w:p>
    <w:p>
      <w:pPr>
        <w:spacing w:before="0" w:after="0"/>
      </w:pPr>
      <w:r>
        <w:t>This document records a structural clarification arising from Phase III field observations. It is not diagnostic, therapeutic, or metaphorical. It describes a dynamic homeostatic system in which time is internally generated and recursively constraining.</w:t>
      </w:r>
    </w:p>
    <w:p>
      <w:pPr>
        <w:spacing w:before="0" w:after="0"/>
      </w:pPr>
      <w:r>
        <w:t>1. FE¹ defines state only. The equation [A] ≠ [NOT A] = [E] describes a snapshot condition of distinction. FE¹ has no vector, no direction, and no presence in time. Sequential FE¹ states do not generate time.</w:t>
      </w:r>
    </w:p>
    <w:p>
      <w:pPr>
        <w:spacing w:before="0" w:after="0"/>
      </w:pPr>
      <w:r>
        <w:t>2. Time arises only within FE² through the interaction of multiple vectors. A single vector or single summed event does not produce chronality. Chronal time emerges exclusively from the interaction, interference, or conjunction of plural FE² vectors.</w:t>
      </w:r>
    </w:p>
    <w:p>
      <w:pPr>
        <w:spacing w:before="0" w:after="0"/>
      </w:pPr>
      <w:r>
        <w:t>3. The Gestalt field is an over‑summation, a summation of summations, across approximately one trillion cellular processes. Each cell participates in local FE¹ distinctions, nodalisation, and FE² vectoring. The Gestalt field is the global interaction surface of these vectors.</w:t>
      </w:r>
    </w:p>
    <w:p>
      <w:pPr>
        <w:spacing w:before="0" w:after="0"/>
      </w:pPr>
      <w:r>
        <w:t>4. Coherence does not depend on perfect synchrony. Local desynchronisation is constant and expected. Global coherence persists because stability is not maintained by forward causation but by feedback from generated time.</w:t>
      </w:r>
    </w:p>
    <w:p>
      <w:pPr>
        <w:spacing w:before="0" w:after="0"/>
      </w:pPr>
      <w:r>
        <w:t>5. Chronal time, once generated by vector interaction, immediately functions as a constraint surface on subsequent vectoring. This is not causal feedback but a state loop. Time is both produced by interaction and simultaneously operative as boundary condition.</w:t>
      </w:r>
    </w:p>
    <w:p>
      <w:pPr>
        <w:spacing w:before="0" w:after="0"/>
      </w:pPr>
      <w:r>
        <w:t>6. This structure constitutes a perfect system of dynamic homeostasis. Information is continuously transported, re‑imported, transferred, and received. Stability emerges because generated time makes coherence cheaper than incoherence.</w:t>
      </w:r>
    </w:p>
    <w:p>
      <w:pPr>
        <w:spacing w:before="0" w:after="0"/>
      </w:pPr>
      <w:r>
        <w:t>7. Comparable systems exist elsewhere in reality. Weather systems exhibit identical structural properties: distributed vector interaction, internal time generation, and resistance to prediction. The difficulty of weather modelling arises because time cannot be known in advance of its generation.</w:t>
      </w:r>
    </w:p>
    <w:p>
      <w:pPr>
        <w:spacing w:before="0" w:after="0"/>
      </w:pPr>
      <w:r>
        <w:t>8. The body‑mind Gestalt operates in the same way. It does not act within pre‑existing time. It generates time, and that generated time constrains further action. This explains sudden coherence shifts, dissolution of pain without repair narratives, and stable unfamiliarity during re‑organisation.</w:t>
      </w:r>
    </w:p>
    <w:p>
      <w:pPr>
        <w:spacing w:before="0" w:after="0"/>
      </w:pPr>
      <w:r>
        <w:t>This document is to be treated as a structural reference note and integrated into the Project Master as a clarification of chronal dynamic homeostasis.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